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031D" w14:textId="77777777" w:rsidR="001F5673" w:rsidRDefault="00000000">
      <w:pPr>
        <w:spacing w:after="20"/>
        <w:jc w:val="center"/>
      </w:pPr>
      <w:r>
        <w:rPr>
          <w:b/>
          <w:bCs/>
          <w:color w:val="1F4E79"/>
          <w:sz w:val="24"/>
          <w:szCs w:val="24"/>
        </w:rPr>
        <w:t>PREFEITURA MUNICIPAL DE SÃO JOÃO DO POLÊSINE</w:t>
      </w:r>
    </w:p>
    <w:p w14:paraId="3EDF5C2E" w14:textId="77777777" w:rsidR="001F5673" w:rsidRDefault="00000000">
      <w:pPr>
        <w:spacing w:after="40"/>
        <w:jc w:val="center"/>
      </w:pPr>
      <w:r>
        <w:rPr>
          <w:color w:val="666666"/>
          <w:sz w:val="18"/>
          <w:szCs w:val="18"/>
        </w:rPr>
        <w:t>Estado do Rio Grande do Sul · Setor de Tributação</w:t>
      </w:r>
    </w:p>
    <w:p w14:paraId="19E03917" w14:textId="77777777" w:rsidR="001F5673" w:rsidRDefault="001F5673">
      <w:pPr>
        <w:pBdr>
          <w:bottom w:val="single" w:sz="10" w:space="2" w:color="1F4E79"/>
        </w:pBdr>
        <w:spacing w:after="160"/>
      </w:pPr>
    </w:p>
    <w:p w14:paraId="49FADBCE" w14:textId="77777777" w:rsidR="001F5673" w:rsidRDefault="00000000">
      <w:pPr>
        <w:spacing w:after="140"/>
        <w:jc w:val="center"/>
      </w:pPr>
      <w:r>
        <w:rPr>
          <w:b/>
          <w:bCs/>
          <w:sz w:val="30"/>
          <w:szCs w:val="30"/>
        </w:rPr>
        <w:t>AVISO AO CONTRIBUINTE</w:t>
      </w:r>
    </w:p>
    <w:p w14:paraId="37CF4D5F" w14:textId="7A9933FC" w:rsidR="001F5673" w:rsidRDefault="00000000">
      <w:pPr>
        <w:pBdr>
          <w:top w:val="single" w:sz="4" w:space="6" w:color="1F4E79"/>
          <w:left w:val="single" w:sz="24" w:space="8" w:color="1F4E79"/>
          <w:bottom w:val="single" w:sz="4" w:space="6" w:color="1F4E79"/>
          <w:right w:val="single" w:sz="4" w:space="6" w:color="1F4E79"/>
        </w:pBdr>
        <w:shd w:val="clear" w:color="auto" w:fill="D5E1F0"/>
        <w:spacing w:after="40"/>
        <w:ind w:left="120" w:right="120"/>
      </w:pPr>
      <w:r>
        <w:rPr>
          <w:b/>
          <w:bCs/>
          <w:sz w:val="24"/>
          <w:szCs w:val="24"/>
        </w:rPr>
        <w:t>A base legal deste reajuste é a Lei Complementar Municipal nº 06/2021</w:t>
      </w:r>
      <w:r>
        <w:rPr>
          <w:sz w:val="24"/>
          <w:szCs w:val="24"/>
        </w:rPr>
        <w:t>,</w:t>
      </w:r>
      <w:r w:rsidR="003217C8">
        <w:rPr>
          <w:sz w:val="24"/>
          <w:szCs w:val="24"/>
        </w:rPr>
        <w:t xml:space="preserve"> aprovada  pela Câmara de Vereadores</w:t>
      </w:r>
      <w:r>
        <w:rPr>
          <w:sz w:val="24"/>
          <w:szCs w:val="24"/>
        </w:rPr>
        <w:t xml:space="preserve"> </w:t>
      </w:r>
      <w:r w:rsidR="003217C8">
        <w:rPr>
          <w:sz w:val="24"/>
          <w:szCs w:val="24"/>
        </w:rPr>
        <w:t>em</w:t>
      </w:r>
      <w:r>
        <w:rPr>
          <w:sz w:val="24"/>
          <w:szCs w:val="24"/>
        </w:rPr>
        <w:t xml:space="preserve"> 17 de novembro de 2021. O reajuste não decorre de uma decisão recente: ele apenas aplica o que essa lei já determinou ao instituir o novo Código Tributário do Município.</w:t>
      </w:r>
    </w:p>
    <w:p w14:paraId="26D7FFB1" w14:textId="77777777" w:rsidR="001F5673" w:rsidRDefault="00000000">
      <w:pPr>
        <w:pBdr>
          <w:bottom w:val="single" w:sz="6" w:space="2" w:color="1F4E79"/>
        </w:pBdr>
        <w:spacing w:before="150" w:after="100"/>
      </w:pPr>
      <w:r>
        <w:rPr>
          <w:b/>
          <w:bCs/>
          <w:color w:val="1F4E79"/>
          <w:sz w:val="24"/>
          <w:szCs w:val="24"/>
        </w:rPr>
        <w:t>Por que o IPTU foi reajustado?</w:t>
      </w:r>
    </w:p>
    <w:p w14:paraId="4778FC65" w14:textId="77777777" w:rsidR="001F5673" w:rsidRDefault="00000000">
      <w:pPr>
        <w:spacing w:after="95"/>
      </w:pPr>
      <w:r>
        <w:t xml:space="preserve">O IPTU é calculado sobre o </w:t>
      </w:r>
      <w:r>
        <w:rPr>
          <w:b/>
          <w:bCs/>
        </w:rPr>
        <w:t>valor venal do imóvel</w:t>
      </w:r>
      <w:r>
        <w:t xml:space="preserve"> — ou seja, o valor estimado do terreno somado ao da construção. Esse valor é definido pela </w:t>
      </w:r>
      <w:r>
        <w:rPr>
          <w:b/>
          <w:bCs/>
        </w:rPr>
        <w:t>Planta de Valores</w:t>
      </w:r>
      <w:r>
        <w:t xml:space="preserve"> do Município, que estabelece quanto vale o metro quadrado em cada região e em cada tipo de construção.</w:t>
      </w:r>
    </w:p>
    <w:p w14:paraId="07779965" w14:textId="77777777" w:rsidR="001F5673" w:rsidRDefault="00000000">
      <w:pPr>
        <w:spacing w:after="95"/>
      </w:pPr>
      <w:r>
        <w:t xml:space="preserve">Esses valores estavam </w:t>
      </w:r>
      <w:r>
        <w:rPr>
          <w:b/>
          <w:bCs/>
        </w:rPr>
        <w:t>defasados em relação ao valor real dos imóveis</w:t>
      </w:r>
      <w:r>
        <w:t xml:space="preserve">. Com o novo Código Tributário, </w:t>
      </w:r>
      <w:r>
        <w:rPr>
          <w:b/>
          <w:bCs/>
        </w:rPr>
        <w:t>instituído pela Lei Complementar nº 06/2021 (aprovada ainda em 2021)</w:t>
      </w:r>
      <w:r>
        <w:t xml:space="preserve">, a Planta de Valores foi </w:t>
      </w:r>
      <w:r>
        <w:rPr>
          <w:b/>
          <w:bCs/>
        </w:rPr>
        <w:t>atualizada</w:t>
      </w:r>
      <w:r>
        <w:t xml:space="preserve"> para refletir a realidade atual. Como o IPTU incide justamente sobre esse valor, a atualização resultou em aumento do imposto para parte dos contribuintes.</w:t>
      </w:r>
    </w:p>
    <w:p w14:paraId="12445DFC" w14:textId="77777777" w:rsidR="001F5673" w:rsidRDefault="00000000">
      <w:pPr>
        <w:spacing w:after="95"/>
      </w:pPr>
      <w:r>
        <w:t xml:space="preserve">Foi exatamente por isso que a lei criou as </w:t>
      </w:r>
      <w:r>
        <w:rPr>
          <w:b/>
          <w:bCs/>
        </w:rPr>
        <w:t>regras de transição</w:t>
      </w:r>
      <w:r>
        <w:t xml:space="preserve">: para que esse reajuste </w:t>
      </w:r>
      <w:r>
        <w:rPr>
          <w:b/>
          <w:bCs/>
        </w:rPr>
        <w:t>não seja cobrado de uma só vez</w:t>
      </w:r>
      <w:r>
        <w:t>, e sim de forma gradual, ao longo dos anos.</w:t>
      </w:r>
    </w:p>
    <w:p w14:paraId="63D6390D" w14:textId="77777777" w:rsidR="001F5673" w:rsidRDefault="00000000">
      <w:pPr>
        <w:pBdr>
          <w:bottom w:val="single" w:sz="6" w:space="2" w:color="1F4E79"/>
        </w:pBdr>
        <w:spacing w:before="150" w:after="100"/>
      </w:pPr>
      <w:r>
        <w:rPr>
          <w:b/>
          <w:bCs/>
          <w:color w:val="1F4E79"/>
          <w:sz w:val="24"/>
          <w:szCs w:val="24"/>
        </w:rPr>
        <w:t>Como foi calculado o IPTU deste carnê</w:t>
      </w:r>
    </w:p>
    <w:p w14:paraId="2C57A3E1" w14:textId="77777777" w:rsidR="001F5673" w:rsidRDefault="00000000">
      <w:pPr>
        <w:spacing w:after="95"/>
      </w:pPr>
      <w:r>
        <w:t xml:space="preserve">O valor do seu IPTU foi calculado de acordo com a </w:t>
      </w:r>
      <w:r>
        <w:rPr>
          <w:b/>
          <w:bCs/>
        </w:rPr>
        <w:t>Lei Complementar Municipal nº 06/2021</w:t>
      </w:r>
      <w:r>
        <w:t>, de 17 de novembro de 2021, aplicando-se as regras de transição abaixo, que distribuem o reajuste ao longo dos anos.</w:t>
      </w:r>
    </w:p>
    <w:p w14:paraId="3936C7C1" w14:textId="77777777" w:rsidR="001F5673" w:rsidRDefault="00000000">
      <w:pPr>
        <w:pBdr>
          <w:bottom w:val="single" w:sz="6" w:space="2" w:color="1F4E79"/>
        </w:pBdr>
        <w:spacing w:before="150" w:after="100"/>
      </w:pPr>
      <w:r>
        <w:rPr>
          <w:b/>
          <w:bCs/>
          <w:color w:val="1F4E79"/>
          <w:sz w:val="24"/>
          <w:szCs w:val="24"/>
        </w:rPr>
        <w:t>IPTU e ISS Fixo (art. 481)</w:t>
      </w:r>
    </w:p>
    <w:p w14:paraId="059A08DD" w14:textId="77777777" w:rsidR="001F5673" w:rsidRDefault="00000000">
      <w:pPr>
        <w:spacing w:after="95"/>
      </w:pPr>
      <w:r>
        <w:t xml:space="preserve">Se o novo valor representar um aumento de </w:t>
      </w:r>
      <w:r>
        <w:rPr>
          <w:b/>
          <w:bCs/>
        </w:rPr>
        <w:t>até 25%</w:t>
      </w:r>
      <w:r>
        <w:t xml:space="preserve"> em relação a 2021, ele é cobrado </w:t>
      </w:r>
      <w:r>
        <w:rPr>
          <w:b/>
          <w:bCs/>
        </w:rPr>
        <w:t>integralmente já neste carnê</w:t>
      </w:r>
      <w:r>
        <w:t>.</w:t>
      </w:r>
    </w:p>
    <w:p w14:paraId="0152C049" w14:textId="77777777" w:rsidR="001F5673" w:rsidRDefault="00000000">
      <w:pPr>
        <w:spacing w:after="120"/>
      </w:pPr>
      <w:r>
        <w:t xml:space="preserve">Se o aumento for </w:t>
      </w:r>
      <w:r>
        <w:rPr>
          <w:b/>
          <w:bCs/>
        </w:rPr>
        <w:t>superior a 25%</w:t>
      </w:r>
      <w:r>
        <w:t xml:space="preserve">, ele é cobrado de forma </w:t>
      </w:r>
      <w:r>
        <w:rPr>
          <w:b/>
          <w:bCs/>
        </w:rPr>
        <w:t>escalonada</w:t>
      </w:r>
      <w:r>
        <w:t>, conforme a tabela abaixo: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760"/>
      </w:tblGrid>
      <w:tr w:rsidR="001F5673" w14:paraId="5C93818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5EA75442" w14:textId="77777777" w:rsidR="001F567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Ano</w:t>
            </w:r>
          </w:p>
        </w:tc>
        <w:tc>
          <w:tcPr>
            <w:tcW w:w="6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54585A78" w14:textId="77777777" w:rsidR="001F567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Aumento aplicado</w:t>
            </w:r>
          </w:p>
        </w:tc>
      </w:tr>
      <w:tr w:rsidR="001F5673" w14:paraId="36CDD8C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21DC6937" w14:textId="77777777" w:rsidR="001F5673" w:rsidRDefault="00000000">
            <w:pPr>
              <w:jc w:val="center"/>
            </w:pPr>
            <w:r>
              <w:rPr>
                <w:b/>
                <w:bCs/>
              </w:rPr>
              <w:t>2022</w:t>
            </w:r>
          </w:p>
        </w:tc>
        <w:tc>
          <w:tcPr>
            <w:tcW w:w="6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1FBD28AB" w14:textId="77777777" w:rsidR="001F5673" w:rsidRDefault="00000000">
            <w:pPr>
              <w:jc w:val="center"/>
            </w:pPr>
            <w:r>
              <w:t>até 25%</w:t>
            </w:r>
          </w:p>
        </w:tc>
      </w:tr>
      <w:tr w:rsidR="001F5673" w14:paraId="698925E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6FB"/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1201132C" w14:textId="77777777" w:rsidR="001F5673" w:rsidRDefault="00000000">
            <w:pPr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6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6FB"/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4E493528" w14:textId="77777777" w:rsidR="001F5673" w:rsidRDefault="00000000">
            <w:pPr>
              <w:jc w:val="center"/>
            </w:pPr>
            <w:r>
              <w:t>até 50%</w:t>
            </w:r>
          </w:p>
        </w:tc>
      </w:tr>
      <w:tr w:rsidR="001F5673" w14:paraId="05C2445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4D7F2D96" w14:textId="77777777" w:rsidR="001F5673" w:rsidRDefault="00000000">
            <w:pPr>
              <w:jc w:val="center"/>
            </w:pPr>
            <w:r>
              <w:rPr>
                <w:b/>
                <w:bCs/>
              </w:rPr>
              <w:t>2030</w:t>
            </w:r>
          </w:p>
        </w:tc>
        <w:tc>
          <w:tcPr>
            <w:tcW w:w="6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2304AF35" w14:textId="77777777" w:rsidR="001F5673" w:rsidRDefault="00000000">
            <w:pPr>
              <w:jc w:val="center"/>
            </w:pPr>
            <w:r>
              <w:t>até 75%</w:t>
            </w:r>
          </w:p>
        </w:tc>
      </w:tr>
      <w:tr w:rsidR="001F5673" w14:paraId="0BB80C5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6FB"/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08C3BCE2" w14:textId="77777777" w:rsidR="001F5673" w:rsidRDefault="00000000">
            <w:pPr>
              <w:jc w:val="center"/>
            </w:pPr>
            <w:r>
              <w:rPr>
                <w:b/>
                <w:bCs/>
              </w:rPr>
              <w:t>2034</w:t>
            </w:r>
          </w:p>
        </w:tc>
        <w:tc>
          <w:tcPr>
            <w:tcW w:w="6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6FB"/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5831DB54" w14:textId="77777777" w:rsidR="001F5673" w:rsidRDefault="00000000">
            <w:pPr>
              <w:jc w:val="center"/>
            </w:pPr>
            <w:r>
              <w:t>100% (valor cheio)</w:t>
            </w:r>
          </w:p>
        </w:tc>
      </w:tr>
    </w:tbl>
    <w:p w14:paraId="2EBD615C" w14:textId="77777777" w:rsidR="001F5673" w:rsidRDefault="00000000">
      <w:pPr>
        <w:pBdr>
          <w:bottom w:val="single" w:sz="6" w:space="2" w:color="1F4E79"/>
        </w:pBdr>
        <w:spacing w:before="150" w:after="100"/>
      </w:pPr>
      <w:r>
        <w:rPr>
          <w:b/>
          <w:bCs/>
          <w:color w:val="1F4E79"/>
          <w:sz w:val="24"/>
          <w:szCs w:val="24"/>
        </w:rPr>
        <w:t>Taxa de Coleta de Lixo (art. 482)</w:t>
      </w:r>
    </w:p>
    <w:p w14:paraId="324CC969" w14:textId="77777777" w:rsidR="001F5673" w:rsidRDefault="00000000">
      <w:pPr>
        <w:spacing w:after="120"/>
      </w:pPr>
      <w:r>
        <w:t xml:space="preserve">A cobrança da taxa também é feita </w:t>
      </w:r>
      <w:r>
        <w:rPr>
          <w:b/>
          <w:bCs/>
        </w:rPr>
        <w:t>aos poucos</w:t>
      </w:r>
      <w:r>
        <w:t>, aplicando-se um percentual do valor calculado, conforme a tabela abaixo: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760"/>
      </w:tblGrid>
      <w:tr w:rsidR="001F5673" w14:paraId="6E2F671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46D78375" w14:textId="77777777" w:rsidR="001F567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Ano</w:t>
            </w:r>
          </w:p>
        </w:tc>
        <w:tc>
          <w:tcPr>
            <w:tcW w:w="6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79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54DAEFD3" w14:textId="77777777" w:rsidR="001F5673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Percentual do valor cobrado</w:t>
            </w:r>
          </w:p>
        </w:tc>
      </w:tr>
      <w:tr w:rsidR="001F5673" w14:paraId="4EA72F6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2B91C2DB" w14:textId="77777777" w:rsidR="001F5673" w:rsidRDefault="00000000">
            <w:pPr>
              <w:jc w:val="center"/>
            </w:pPr>
            <w:r>
              <w:rPr>
                <w:b/>
                <w:bCs/>
              </w:rPr>
              <w:t>2022</w:t>
            </w:r>
          </w:p>
        </w:tc>
        <w:tc>
          <w:tcPr>
            <w:tcW w:w="6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11ED10B8" w14:textId="77777777" w:rsidR="001F5673" w:rsidRDefault="00000000">
            <w:pPr>
              <w:jc w:val="center"/>
            </w:pPr>
            <w:r>
              <w:t>25% do valor calculado</w:t>
            </w:r>
          </w:p>
        </w:tc>
      </w:tr>
      <w:tr w:rsidR="001F5673" w14:paraId="7753AF2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6FB"/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7ED30E22" w14:textId="77777777" w:rsidR="001F5673" w:rsidRDefault="00000000">
            <w:pPr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6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6FB"/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01D22EA2" w14:textId="77777777" w:rsidR="001F5673" w:rsidRDefault="00000000">
            <w:pPr>
              <w:jc w:val="center"/>
            </w:pPr>
            <w:r>
              <w:t>50% do valor calculado</w:t>
            </w:r>
          </w:p>
        </w:tc>
      </w:tr>
      <w:tr w:rsidR="001F5673" w14:paraId="207DA22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60725A42" w14:textId="77777777" w:rsidR="001F5673" w:rsidRDefault="00000000">
            <w:pPr>
              <w:jc w:val="center"/>
            </w:pPr>
            <w:r>
              <w:rPr>
                <w:b/>
                <w:bCs/>
              </w:rPr>
              <w:t>2030</w:t>
            </w:r>
          </w:p>
        </w:tc>
        <w:tc>
          <w:tcPr>
            <w:tcW w:w="6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1DFD7BA8" w14:textId="77777777" w:rsidR="001F5673" w:rsidRDefault="00000000">
            <w:pPr>
              <w:jc w:val="center"/>
            </w:pPr>
            <w:r>
              <w:t>75% do valor calculado</w:t>
            </w:r>
          </w:p>
        </w:tc>
      </w:tr>
      <w:tr w:rsidR="001F5673" w14:paraId="261E9BA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6FB"/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0EC2FFB3" w14:textId="77777777" w:rsidR="001F5673" w:rsidRDefault="00000000">
            <w:pPr>
              <w:jc w:val="center"/>
            </w:pPr>
            <w:r>
              <w:rPr>
                <w:b/>
                <w:bCs/>
              </w:rPr>
              <w:t>2034</w:t>
            </w:r>
          </w:p>
        </w:tc>
        <w:tc>
          <w:tcPr>
            <w:tcW w:w="67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6FB"/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69D832B8" w14:textId="77777777" w:rsidR="001F5673" w:rsidRDefault="00000000">
            <w:pPr>
              <w:jc w:val="center"/>
            </w:pPr>
            <w:r>
              <w:t>100% (valor integral)</w:t>
            </w:r>
          </w:p>
        </w:tc>
      </w:tr>
    </w:tbl>
    <w:p w14:paraId="7F4540B5" w14:textId="77777777" w:rsidR="001F5673" w:rsidRDefault="00000000">
      <w:pPr>
        <w:pBdr>
          <w:bottom w:val="single" w:sz="6" w:space="2" w:color="1F4E79"/>
        </w:pBdr>
        <w:spacing w:before="150" w:after="100"/>
      </w:pPr>
      <w:r>
        <w:rPr>
          <w:b/>
          <w:bCs/>
          <w:color w:val="1F4E79"/>
          <w:sz w:val="24"/>
          <w:szCs w:val="24"/>
        </w:rPr>
        <w:t>Em resumo</w:t>
      </w:r>
    </w:p>
    <w:p w14:paraId="1ED05C10" w14:textId="77777777" w:rsidR="001F5673" w:rsidRDefault="00000000">
      <w:pPr>
        <w:spacing w:after="95"/>
      </w:pPr>
      <w:r>
        <w:t xml:space="preserve">Os valores deste carnê seguem a </w:t>
      </w:r>
      <w:r>
        <w:rPr>
          <w:b/>
          <w:bCs/>
        </w:rPr>
        <w:t>Lei Complementar nº 06/2021</w:t>
      </w:r>
      <w:r>
        <w:t xml:space="preserve"> e respeitam as regras de transição nela previstas, que existem justamente para que o aumento </w:t>
      </w:r>
      <w:r>
        <w:rPr>
          <w:b/>
          <w:bCs/>
        </w:rPr>
        <w:t>não pese tudo de uma vez</w:t>
      </w:r>
      <w:r>
        <w:t xml:space="preserve"> no seu orçamento.</w:t>
      </w:r>
    </w:p>
    <w:p w14:paraId="3A68927A" w14:textId="77777777" w:rsidR="001F5673" w:rsidRDefault="001F5673">
      <w:pPr>
        <w:pBdr>
          <w:top w:val="single" w:sz="6" w:space="4" w:color="BFBFBF"/>
        </w:pBdr>
        <w:spacing w:before="120"/>
      </w:pPr>
    </w:p>
    <w:p w14:paraId="58C822CB" w14:textId="77777777" w:rsidR="001F5673" w:rsidRDefault="00000000">
      <w:pPr>
        <w:spacing w:before="90"/>
        <w:jc w:val="center"/>
      </w:pPr>
      <w:r>
        <w:rPr>
          <w:b/>
          <w:bCs/>
        </w:rPr>
        <w:lastRenderedPageBreak/>
        <w:t>Em caso de dúvidas, procure o Setor de Tributação da Prefeitura Municipal.</w:t>
      </w:r>
    </w:p>
    <w:sectPr w:rsidR="001F5673">
      <w:pgSz w:w="11906" w:h="16838"/>
      <w:pgMar w:top="700" w:right="1100" w:bottom="700" w:left="11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84507"/>
    <w:multiLevelType w:val="hybridMultilevel"/>
    <w:tmpl w:val="AC1A00CA"/>
    <w:lvl w:ilvl="0" w:tplc="8632C14E">
      <w:start w:val="1"/>
      <w:numFmt w:val="bullet"/>
      <w:lvlText w:val="●"/>
      <w:lvlJc w:val="left"/>
      <w:pPr>
        <w:ind w:left="720" w:hanging="360"/>
      </w:pPr>
    </w:lvl>
    <w:lvl w:ilvl="1" w:tplc="774C145C">
      <w:start w:val="1"/>
      <w:numFmt w:val="bullet"/>
      <w:lvlText w:val="○"/>
      <w:lvlJc w:val="left"/>
      <w:pPr>
        <w:ind w:left="1440" w:hanging="360"/>
      </w:pPr>
    </w:lvl>
    <w:lvl w:ilvl="2" w:tplc="808CEECE">
      <w:start w:val="1"/>
      <w:numFmt w:val="bullet"/>
      <w:lvlText w:val="■"/>
      <w:lvlJc w:val="left"/>
      <w:pPr>
        <w:ind w:left="2160" w:hanging="360"/>
      </w:pPr>
    </w:lvl>
    <w:lvl w:ilvl="3" w:tplc="F2484EB0">
      <w:start w:val="1"/>
      <w:numFmt w:val="bullet"/>
      <w:lvlText w:val="●"/>
      <w:lvlJc w:val="left"/>
      <w:pPr>
        <w:ind w:left="2880" w:hanging="360"/>
      </w:pPr>
    </w:lvl>
    <w:lvl w:ilvl="4" w:tplc="1368DDAA">
      <w:start w:val="1"/>
      <w:numFmt w:val="bullet"/>
      <w:lvlText w:val="○"/>
      <w:lvlJc w:val="left"/>
      <w:pPr>
        <w:ind w:left="3600" w:hanging="360"/>
      </w:pPr>
    </w:lvl>
    <w:lvl w:ilvl="5" w:tplc="61300B62">
      <w:start w:val="1"/>
      <w:numFmt w:val="bullet"/>
      <w:lvlText w:val="■"/>
      <w:lvlJc w:val="left"/>
      <w:pPr>
        <w:ind w:left="4320" w:hanging="360"/>
      </w:pPr>
    </w:lvl>
    <w:lvl w:ilvl="6" w:tplc="ECFE82CA">
      <w:start w:val="1"/>
      <w:numFmt w:val="bullet"/>
      <w:lvlText w:val="●"/>
      <w:lvlJc w:val="left"/>
      <w:pPr>
        <w:ind w:left="5040" w:hanging="360"/>
      </w:pPr>
    </w:lvl>
    <w:lvl w:ilvl="7" w:tplc="1A9AC7D0">
      <w:start w:val="1"/>
      <w:numFmt w:val="bullet"/>
      <w:lvlText w:val="●"/>
      <w:lvlJc w:val="left"/>
      <w:pPr>
        <w:ind w:left="5760" w:hanging="360"/>
      </w:pPr>
    </w:lvl>
    <w:lvl w:ilvl="8" w:tplc="0FB0156A">
      <w:start w:val="1"/>
      <w:numFmt w:val="bullet"/>
      <w:lvlText w:val="●"/>
      <w:lvlJc w:val="left"/>
      <w:pPr>
        <w:ind w:left="6480" w:hanging="360"/>
      </w:pPr>
    </w:lvl>
  </w:abstractNum>
  <w:num w:numId="1" w16cid:durableId="2370556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73"/>
    <w:rsid w:val="001F5673"/>
    <w:rsid w:val="003217C8"/>
    <w:rsid w:val="00971445"/>
    <w:rsid w:val="00C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B20B"/>
  <w15:docId w15:val="{6BB246C2-025C-453B-AD16-A9243D0C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2024</Characters>
  <Application>Microsoft Office Word</Application>
  <DocSecurity>0</DocSecurity>
  <Lines>32</Lines>
  <Paragraphs>6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Diogo Cargnelutti Zanella</cp:lastModifiedBy>
  <cp:revision>2</cp:revision>
  <dcterms:created xsi:type="dcterms:W3CDTF">2026-06-16T14:19:00Z</dcterms:created>
  <dcterms:modified xsi:type="dcterms:W3CDTF">2026-06-16T14:19:00Z</dcterms:modified>
</cp:coreProperties>
</file>